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rFonts w:ascii="Times New Roman" w:hAnsi="Times New Roman" w:cs="Times New Roman"/>
          <w:color w:val="595959" w:themeColor="text1" w:themeTint="A6"/>
          <w:sz w:val="28"/>
          <w:szCs w:val="28"/>
        </w:rPr>
        <w:id w:val="244544161"/>
        <w:docPartObj>
          <w:docPartGallery w:val="Cover Pages"/>
          <w:docPartUnique/>
        </w:docPartObj>
      </w:sdtPr>
      <w:sdtEndPr>
        <w:rPr>
          <w:rStyle w:val="10"/>
          <w:rFonts w:eastAsiaTheme="majorEastAsia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E1103">
            <w:rPr>
              <w:rFonts w:ascii="Times New Roman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Мастер-класс: «Дидактическая игра:</w:t>
          </w:r>
          <w:r w:rsidRPr="007E1103"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7E1103"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«Кто где живет?»</w:t>
          </w: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572BE6">
          <w:pPr>
            <w:pStyle w:val="a5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E1103">
            <w:rPr>
              <w:rFonts w:ascii="Times New Roman" w:eastAsiaTheme="majorEastAsia" w:hAnsi="Times New Roman" w:cs="Times New Roman"/>
              <w:noProof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inline distT="0" distB="0" distL="0" distR="0">
                <wp:extent cx="5823585" cy="4686299"/>
                <wp:effectExtent l="0" t="0" r="5715" b="635"/>
                <wp:docPr id="1" name="Рисунок 1" descr="C:\Users\User\Downloads\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0064" cy="470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Default="007E1103" w:rsidP="00572BE6">
          <w:pPr>
            <w:pStyle w:val="a5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bookmarkStart w:id="5" w:name="_GoBack"/>
          <w:bookmarkEnd w:id="5"/>
        </w:p>
        <w:p w:rsidR="007E1103" w:rsidRDefault="007E1103" w:rsidP="007E1103">
          <w:pPr>
            <w:pStyle w:val="a5"/>
            <w:ind w:firstLine="709"/>
            <w:jc w:val="center"/>
            <w:rPr>
              <w:rFonts w:ascii="Times New Roman" w:eastAsiaTheme="majorEastAsia" w:hAnsi="Times New Roman" w:cs="Times New Roman"/>
              <w:color w:val="C00000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7E1103" w:rsidRPr="007E1103" w:rsidRDefault="007E1103" w:rsidP="007E1103"/>
        <w:p w:rsidR="007E1103" w:rsidRPr="007E1103" w:rsidRDefault="007E1103" w:rsidP="007E1103"/>
        <w:p w:rsidR="007E1103" w:rsidRDefault="007E1103" w:rsidP="007E1103">
          <w:pPr>
            <w:pStyle w:val="a5"/>
          </w:pPr>
        </w:p>
        <w:p w:rsidR="007E1103" w:rsidRPr="007E1103" w:rsidRDefault="007E1103" w:rsidP="007E1103">
          <w:pPr>
            <w:pStyle w:val="a5"/>
            <w:tabs>
              <w:tab w:val="left" w:pos="5595"/>
            </w:tabs>
            <w:rPr>
              <w:rFonts w:ascii="Times New Roman" w:hAnsi="Times New Roman" w:cs="Times New Roman"/>
              <w:color w:val="C00000"/>
              <w:sz w:val="28"/>
              <w:szCs w:val="28"/>
            </w:rPr>
          </w:pPr>
          <w:r>
            <w:tab/>
          </w:r>
          <w:r w:rsidRPr="007E1103">
            <w:rPr>
              <w:rFonts w:ascii="Times New Roman" w:hAnsi="Times New Roman" w:cs="Times New Roman"/>
              <w:color w:val="C00000"/>
              <w:sz w:val="28"/>
              <w:szCs w:val="28"/>
            </w:rPr>
            <w:t>Подготовила: Солтыгова М.А.</w:t>
          </w:r>
        </w:p>
        <w:p w:rsidR="009B045A" w:rsidRPr="007E1103" w:rsidRDefault="009B045A" w:rsidP="007E1103">
          <w:pPr>
            <w:pStyle w:val="a5"/>
            <w:rPr>
              <w:rStyle w:val="10"/>
              <w:rFonts w:ascii="Times New Roman" w:hAnsi="Times New Roman" w:cs="Times New Roman"/>
              <w:b/>
              <w:color w:val="auto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E1103">
            <w:rPr>
              <w:rFonts w:ascii="Times New Roman" w:hAnsi="Times New Roman" w:cs="Times New Roman"/>
              <w:color w:val="C00000"/>
              <w:sz w:val="28"/>
              <w:szCs w:val="28"/>
            </w:rPr>
            <w:br w:type="page"/>
          </w:r>
          <w:r w:rsidRPr="009B045A">
            <w:rPr>
              <w:rStyle w:val="10"/>
              <w:rFonts w:ascii="Times New Roman" w:hAnsi="Times New Roman" w:cs="Times New Roman"/>
              <w:color w:val="auto"/>
              <w:sz w:val="28"/>
              <w:szCs w:val="28"/>
            </w:rPr>
            <w:lastRenderedPageBreak/>
            <w:t>Считается, что на смену старому должно прийти новое. Но ведь новое и есть хорошо забытое старое, а значит, на смену «урочному» виду занятий должно прийти что-то нечто еще более древнее и более вечное. Может быть, это игра?</w:t>
          </w:r>
        </w:p>
        <w:p w:rsidR="009B045A" w:rsidRPr="009B045A" w:rsidRDefault="009B045A" w:rsidP="009B045A">
          <w:pPr>
            <w:pStyle w:val="a5"/>
            <w:ind w:firstLine="709"/>
            <w:jc w:val="both"/>
            <w:rPr>
              <w:rStyle w:val="10"/>
              <w:rFonts w:ascii="Times New Roman" w:hAnsi="Times New Roman" w:cs="Times New Roman"/>
              <w:color w:val="auto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B045A">
            <w:rPr>
              <w:rStyle w:val="10"/>
              <w:rFonts w:ascii="Times New Roman" w:hAnsi="Times New Roman" w:cs="Times New Roman"/>
              <w:color w:val="auto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Одним из эффективных путей активизации познавательной деятельности детей является дидактическая игра.</w:t>
          </w:r>
        </w:p>
      </w:sdtContent>
    </w:sdt>
    <w:bookmarkEnd w:id="0" w:displacedByCustomXml="prev"/>
    <w:bookmarkEnd w:id="1" w:displacedByCustomXml="prev"/>
    <w:bookmarkEnd w:id="2" w:displacedByCustomXml="prev"/>
    <w:bookmarkEnd w:id="3" w:displacedByCustomXml="prev"/>
    <w:bookmarkEnd w:id="4" w:displacedByCustomXml="prev"/>
    <w:p w:rsidR="009B045A" w:rsidRPr="009B045A" w:rsidRDefault="009B045A" w:rsidP="009B045A">
      <w:pPr>
        <w:pStyle w:val="a5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9B045A">
        <w:rPr>
          <w:rStyle w:val="10"/>
          <w:rFonts w:ascii="Times New Roman" w:hAnsi="Times New Roman" w:cs="Times New Roman"/>
          <w:color w:val="auto"/>
          <w:sz w:val="28"/>
          <w:szCs w:val="28"/>
        </w:rPr>
        <w:t>Игру можно назвать восьмым чудом света, так как в ней заложены огромные воспитательные, образовательные и развивающие возможности. В процессе игр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</w:t>
      </w:r>
    </w:p>
    <w:p w:rsidR="009B045A" w:rsidRPr="009B045A" w:rsidRDefault="009B045A" w:rsidP="009B045A">
      <w:pPr>
        <w:pStyle w:val="a5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45A">
        <w:rPr>
          <w:rStyle w:val="10"/>
          <w:rFonts w:ascii="Times New Roman" w:hAnsi="Times New Roman" w:cs="Times New Roman"/>
          <w:color w:val="auto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 xml:space="preserve">Дидактические игры-  </w:t>
      </w:r>
      <w:r w:rsidRPr="009B045A"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 же время в них проявляется воспитательное и развивающее влияние игровой деятельности. </w:t>
      </w:r>
    </w:p>
    <w:p w:rsidR="009B045A" w:rsidRPr="009B045A" w:rsidRDefault="009B045A" w:rsidP="009B045A">
      <w:pPr>
        <w:pStyle w:val="a5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45A"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Дидактические игры как раз и способствуют развитию у детей психических процессов.</w:t>
      </w:r>
    </w:p>
    <w:p w:rsidR="009B045A" w:rsidRPr="009B045A" w:rsidRDefault="009B045A" w:rsidP="009B045A">
      <w:pPr>
        <w:pStyle w:val="a5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45A">
        <w:rPr>
          <w:rStyle w:val="10"/>
          <w:rFonts w:ascii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Однако, дидактическая игра- это еще и игровая форма обучения, которая, как известно, достаточно активно применяется на начальных этапах обучения, т.е. в старшем дошкольном и младшем возрасте.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Для детей с нарушением зрения игра приобретает особое значение, поскольку помогает увереннее входить в мир реальных вещей. Развитие осязания и мелкой моторики выступает мощным средством компенсации нарушения зрения.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Чтобы увлекательно и занимательно  проходило занятие по развитию мелкой моторики рук, предлагаю игру, которая развивает подвижность кистей рук, умение управлять своими движениями.</w:t>
      </w:r>
    </w:p>
    <w:p w:rsidR="009B045A" w:rsidRPr="009B045A" w:rsidRDefault="009B045A" w:rsidP="009B045A">
      <w:pPr>
        <w:pStyle w:val="a5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«Кто где живет?»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  <w:r w:rsidRPr="009B045A">
        <w:rPr>
          <w:rFonts w:ascii="Times New Roman" w:eastAsiaTheme="maj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закреплять знания детей о диких и домашних животных, учить классифицировать  животных по среде обитания, развивать мелкую моторику рук, память, мышление.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Техника изготовления игры:   на бумагу наклеить вырезанные из цветной бумаги лес и дом, посередине провести дорожку, вырезать отверстия для пробок, вставить туда горлышки пластиковых бутылочек. На пробки приклеить головки зверюшек.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игры: поселить животных в свои домики , классифицировать животных по среде обитания.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игры: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загадывает детям загадки о животных, предлагает детям рассмотреть  картинки животных.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-Давайте вспомним, кто живет в лесу, а кто в доме, у человека? Поселим животных в свои домики.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по одному подходят и прикручивают пробочки со зверюшками в те места, где они обитают.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После того, как все животные будут «поселены» в свои дома, воспитатель дает задание детям описать картинку: определить время года, перечислить все цвета, которые есть на картинке, перечислить геометрические фигурки, которые там изображены.</w:t>
      </w:r>
    </w:p>
    <w:p w:rsidR="009B045A" w:rsidRPr="009B045A" w:rsidRDefault="009B045A" w:rsidP="009B045A">
      <w:pPr>
        <w:pStyle w:val="a5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45A">
        <w:rPr>
          <w:rFonts w:ascii="Times New Roman" w:eastAsiaTheme="majorEastAsia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окончанию игры подарить детям значки с  похвальными надписями.</w:t>
      </w:r>
    </w:p>
    <w:p w:rsidR="007A4BC6" w:rsidRPr="009B045A" w:rsidRDefault="00572BE6" w:rsidP="009B04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4BC6" w:rsidRPr="009B045A" w:rsidSect="00965A0D">
      <w:footerReference w:type="default" r:id="rId5"/>
      <w:pgSz w:w="11907" w:h="16839" w:code="9"/>
      <w:pgMar w:top="1134" w:right="567" w:bottom="1134" w:left="1134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8" w:rsidRDefault="00572BE6">
    <w:pPr>
      <w:pStyle w:val="a7"/>
    </w:pPr>
    <w:r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96"/>
    <w:rsid w:val="00070FCA"/>
    <w:rsid w:val="001D12D8"/>
    <w:rsid w:val="00572BE6"/>
    <w:rsid w:val="007E1103"/>
    <w:rsid w:val="008D4496"/>
    <w:rsid w:val="009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CC6"/>
  <w15:chartTrackingRefBased/>
  <w15:docId w15:val="{261332B7-BBC0-4656-B832-16DD5AE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5A"/>
    <w:pPr>
      <w:spacing w:before="120" w:after="200" w:line="264" w:lineRule="auto"/>
    </w:pPr>
    <w:rPr>
      <w:color w:val="595959" w:themeColor="text1" w:themeTint="A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1"/>
    <w:qFormat/>
    <w:rsid w:val="009B045A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customStyle="1" w:styleId="a3">
    <w:name w:val="Контактные данные"/>
    <w:basedOn w:val="a"/>
    <w:uiPriority w:val="99"/>
    <w:qFormat/>
    <w:rsid w:val="009B045A"/>
    <w:pPr>
      <w:spacing w:before="0" w:after="0"/>
      <w:jc w:val="center"/>
    </w:pPr>
  </w:style>
  <w:style w:type="character" w:customStyle="1" w:styleId="10">
    <w:name w:val="Заголовок 1 (знак)"/>
    <w:basedOn w:val="a0"/>
    <w:link w:val="1"/>
    <w:uiPriority w:val="1"/>
    <w:rsid w:val="009B045A"/>
    <w:rPr>
      <w:rFonts w:asciiTheme="majorHAnsi" w:eastAsiaTheme="majorEastAsia" w:hAnsiTheme="majorHAnsi" w:cstheme="majorBidi"/>
      <w:color w:val="5B9BD5" w:themeColor="accent1"/>
      <w:sz w:val="30"/>
      <w:szCs w:val="20"/>
      <w:lang w:eastAsia="ru-RU"/>
    </w:rPr>
  </w:style>
  <w:style w:type="paragraph" w:customStyle="1" w:styleId="11">
    <w:name w:val="Заголовок1"/>
    <w:basedOn w:val="a"/>
    <w:next w:val="a"/>
    <w:link w:val="a4"/>
    <w:uiPriority w:val="10"/>
    <w:unhideWhenUsed/>
    <w:qFormat/>
    <w:rsid w:val="009B045A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character" w:customStyle="1" w:styleId="a4">
    <w:name w:val="Заголовок (знак)"/>
    <w:basedOn w:val="a0"/>
    <w:link w:val="11"/>
    <w:uiPriority w:val="10"/>
    <w:rsid w:val="009B045A"/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ru-RU"/>
    </w:rPr>
  </w:style>
  <w:style w:type="paragraph" w:styleId="a5">
    <w:name w:val="No Spacing"/>
    <w:link w:val="a6"/>
    <w:uiPriority w:val="1"/>
    <w:unhideWhenUsed/>
    <w:qFormat/>
    <w:rsid w:val="009B045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B045A"/>
    <w:rPr>
      <w:sz w:val="20"/>
      <w:szCs w:val="20"/>
      <w:lang w:eastAsia="ru-RU"/>
    </w:rPr>
  </w:style>
  <w:style w:type="paragraph" w:customStyle="1" w:styleId="a7">
    <w:name w:val="нижний колонтитул"/>
    <w:basedOn w:val="a"/>
    <w:link w:val="a8"/>
    <w:uiPriority w:val="99"/>
    <w:unhideWhenUsed/>
    <w:rsid w:val="009B045A"/>
    <w:pPr>
      <w:spacing w:before="0" w:after="0" w:line="240" w:lineRule="auto"/>
      <w:jc w:val="right"/>
    </w:pPr>
    <w:rPr>
      <w:caps/>
      <w:sz w:val="16"/>
    </w:rPr>
  </w:style>
  <w:style w:type="character" w:customStyle="1" w:styleId="a8">
    <w:name w:val="Нижний колонтитул (знак)"/>
    <w:basedOn w:val="a0"/>
    <w:link w:val="a7"/>
    <w:uiPriority w:val="99"/>
    <w:rsid w:val="009B045A"/>
    <w:rPr>
      <w:caps/>
      <w:color w:val="595959" w:themeColor="text1" w:themeTint="A6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2022-02-10T13:56:00Z</dcterms:created>
  <dcterms:modified xsi:type="dcterms:W3CDTF">2022-02-10T14:26:00Z</dcterms:modified>
</cp:coreProperties>
</file>